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03EC9" w14:textId="66D55D56" w:rsidR="00925E98" w:rsidRPr="006C33CE" w:rsidRDefault="00925E98" w:rsidP="00925E98">
      <w:pPr>
        <w:jc w:val="center"/>
        <w:rPr>
          <w:b/>
          <w:sz w:val="22"/>
          <w:szCs w:val="22"/>
        </w:rPr>
      </w:pPr>
      <w:r w:rsidRPr="006C33CE">
        <w:rPr>
          <w:b/>
          <w:sz w:val="22"/>
          <w:szCs w:val="22"/>
        </w:rPr>
        <w:t xml:space="preserve">Texto definitivo del Proyecto de Acuerdo No. 851 de 2025, aprobado en la sesión de la Comisión Segunda Permanente de Gobierno realizada el 7 de noviembre de 2025 </w:t>
      </w:r>
    </w:p>
    <w:p w14:paraId="09384C97" w14:textId="77777777" w:rsidR="007821E5" w:rsidRPr="006C33CE" w:rsidRDefault="007821E5">
      <w:pPr>
        <w:spacing w:line="276" w:lineRule="auto"/>
        <w:rPr>
          <w:b/>
          <w:sz w:val="22"/>
          <w:szCs w:val="22"/>
        </w:rPr>
      </w:pPr>
    </w:p>
    <w:p w14:paraId="43ED0607" w14:textId="77777777" w:rsidR="006F4987" w:rsidRPr="006C33CE" w:rsidRDefault="006F4987" w:rsidP="006F4987">
      <w:pPr>
        <w:jc w:val="center"/>
        <w:rPr>
          <w:rFonts w:eastAsia="Times New Roman"/>
          <w:b/>
          <w:sz w:val="22"/>
          <w:szCs w:val="22"/>
        </w:rPr>
      </w:pPr>
      <w:r w:rsidRPr="006C33CE">
        <w:rPr>
          <w:rFonts w:eastAsia="Times New Roman"/>
          <w:b/>
          <w:sz w:val="22"/>
          <w:szCs w:val="22"/>
        </w:rPr>
        <w:t>PROYECTO DE ACUERDO N° 851 DE 2025</w:t>
      </w:r>
    </w:p>
    <w:p w14:paraId="770D0DEF" w14:textId="77777777" w:rsidR="006F4987" w:rsidRPr="006C33CE" w:rsidRDefault="006F4987" w:rsidP="006F4987">
      <w:pPr>
        <w:jc w:val="center"/>
        <w:rPr>
          <w:rFonts w:eastAsia="Times New Roman"/>
          <w:b/>
          <w:sz w:val="22"/>
          <w:szCs w:val="22"/>
        </w:rPr>
      </w:pPr>
    </w:p>
    <w:p w14:paraId="4ADC9065" w14:textId="77777777" w:rsidR="006F4987" w:rsidRPr="006C33CE" w:rsidRDefault="006F4987" w:rsidP="006F4987">
      <w:pPr>
        <w:widowControl w:val="0"/>
        <w:jc w:val="center"/>
        <w:rPr>
          <w:rFonts w:eastAsia="Times New Roman"/>
          <w:b/>
          <w:sz w:val="22"/>
          <w:szCs w:val="22"/>
        </w:rPr>
      </w:pPr>
      <w:r w:rsidRPr="006C33CE">
        <w:rPr>
          <w:rFonts w:eastAsia="Times New Roman"/>
          <w:b/>
          <w:sz w:val="22"/>
          <w:szCs w:val="22"/>
        </w:rPr>
        <w:t xml:space="preserve">“POR MEDIO DEL CUAL SE FOMENTA EL MEJORAMIENTO DE LA EDUCACIÓN DE BOGOTÁ, </w:t>
      </w:r>
      <w:r w:rsidRPr="006C33CE">
        <w:rPr>
          <w:rFonts w:eastAsia="Times New Roman"/>
          <w:b/>
          <w:sz w:val="22"/>
          <w:szCs w:val="22"/>
          <w:highlight w:val="white"/>
        </w:rPr>
        <w:t>SE DEROGA EL ACUERDO 273 DE 2007, Y SE DICTAN OTRAS DISPOSICIONES</w:t>
      </w:r>
      <w:r w:rsidRPr="006C33CE">
        <w:rPr>
          <w:rFonts w:eastAsia="Times New Roman"/>
          <w:b/>
          <w:sz w:val="22"/>
          <w:szCs w:val="22"/>
        </w:rPr>
        <w:t>”</w:t>
      </w:r>
    </w:p>
    <w:p w14:paraId="0A9C553A" w14:textId="77777777" w:rsidR="006F4987" w:rsidRPr="006C33CE" w:rsidRDefault="006F4987" w:rsidP="006F4987">
      <w:pPr>
        <w:jc w:val="both"/>
        <w:rPr>
          <w:rFonts w:eastAsia="Times New Roman"/>
          <w:b/>
          <w:sz w:val="22"/>
          <w:szCs w:val="22"/>
        </w:rPr>
      </w:pPr>
    </w:p>
    <w:p w14:paraId="2A7E4014" w14:textId="77777777" w:rsidR="006F4987" w:rsidRPr="006C33CE" w:rsidRDefault="006F4987" w:rsidP="006F4987">
      <w:pPr>
        <w:jc w:val="both"/>
        <w:rPr>
          <w:rFonts w:eastAsia="Times New Roman"/>
          <w:b/>
          <w:sz w:val="22"/>
          <w:szCs w:val="22"/>
        </w:rPr>
      </w:pPr>
    </w:p>
    <w:p w14:paraId="486D06F9" w14:textId="77777777" w:rsidR="006F4987" w:rsidRPr="006C33CE" w:rsidRDefault="006F4987" w:rsidP="006F4987">
      <w:pPr>
        <w:jc w:val="center"/>
        <w:rPr>
          <w:rFonts w:eastAsia="Times New Roman"/>
          <w:b/>
          <w:sz w:val="22"/>
          <w:szCs w:val="22"/>
        </w:rPr>
      </w:pPr>
      <w:r w:rsidRPr="006C33CE">
        <w:rPr>
          <w:rFonts w:eastAsia="Times New Roman"/>
          <w:b/>
          <w:sz w:val="22"/>
          <w:szCs w:val="22"/>
        </w:rPr>
        <w:t>EL CONCEJO DE BOGOTÁ D.C.</w:t>
      </w:r>
    </w:p>
    <w:p w14:paraId="19B151C8" w14:textId="77777777" w:rsidR="006F4987" w:rsidRPr="006C33CE" w:rsidRDefault="006F4987" w:rsidP="006F4987">
      <w:pPr>
        <w:jc w:val="both"/>
        <w:rPr>
          <w:rFonts w:eastAsia="Times New Roman"/>
          <w:b/>
          <w:sz w:val="22"/>
          <w:szCs w:val="22"/>
        </w:rPr>
      </w:pPr>
    </w:p>
    <w:p w14:paraId="429B1888" w14:textId="77777777" w:rsidR="006F4987" w:rsidRPr="006C33CE" w:rsidRDefault="006F4987" w:rsidP="006F4987">
      <w:pPr>
        <w:jc w:val="both"/>
        <w:rPr>
          <w:rFonts w:eastAsia="Times New Roman"/>
          <w:sz w:val="22"/>
          <w:szCs w:val="22"/>
        </w:rPr>
      </w:pPr>
      <w:r w:rsidRPr="006C33CE">
        <w:rPr>
          <w:rFonts w:eastAsia="Times New Roman"/>
          <w:sz w:val="22"/>
          <w:szCs w:val="22"/>
        </w:rPr>
        <w:t>En uso de sus atribuciones constitucionales y legales, en especial las que le confieren el numeral 1 del artículo 313 de la Constitución Política y el numeral 1 y 25 del artículo 12 del Decreto Ley 1421 de 1993.</w:t>
      </w:r>
    </w:p>
    <w:p w14:paraId="5309000F" w14:textId="77777777" w:rsidR="006F4987" w:rsidRPr="006C33CE" w:rsidRDefault="006F4987" w:rsidP="006F4987">
      <w:pPr>
        <w:jc w:val="center"/>
        <w:rPr>
          <w:rFonts w:eastAsia="Times New Roman"/>
          <w:sz w:val="22"/>
          <w:szCs w:val="22"/>
        </w:rPr>
      </w:pPr>
    </w:p>
    <w:p w14:paraId="1B541372" w14:textId="0CD4919E" w:rsidR="006F4987" w:rsidRPr="006C33CE" w:rsidRDefault="006F4987" w:rsidP="006F4987">
      <w:pPr>
        <w:jc w:val="center"/>
        <w:rPr>
          <w:rFonts w:eastAsia="Times New Roman"/>
          <w:b/>
          <w:sz w:val="22"/>
          <w:szCs w:val="22"/>
        </w:rPr>
      </w:pPr>
      <w:r w:rsidRPr="006C33CE">
        <w:rPr>
          <w:rFonts w:eastAsia="Times New Roman"/>
          <w:b/>
          <w:sz w:val="22"/>
          <w:szCs w:val="22"/>
        </w:rPr>
        <w:t>ACUERDA</w:t>
      </w:r>
    </w:p>
    <w:p w14:paraId="037AC7A5" w14:textId="77777777" w:rsidR="006F4987" w:rsidRPr="006C33CE" w:rsidRDefault="006F4987" w:rsidP="006F4987">
      <w:pPr>
        <w:jc w:val="both"/>
        <w:rPr>
          <w:rFonts w:eastAsia="Times New Roman"/>
          <w:sz w:val="22"/>
          <w:szCs w:val="22"/>
        </w:rPr>
      </w:pPr>
    </w:p>
    <w:p w14:paraId="1849C682" w14:textId="02672E8C" w:rsidR="006F4987" w:rsidRPr="006C33CE" w:rsidRDefault="006F4987" w:rsidP="006F4987">
      <w:pPr>
        <w:jc w:val="both"/>
        <w:rPr>
          <w:rFonts w:eastAsia="Times New Roman"/>
          <w:sz w:val="22"/>
          <w:szCs w:val="22"/>
        </w:rPr>
      </w:pPr>
      <w:r w:rsidRPr="006C33CE">
        <w:rPr>
          <w:rFonts w:eastAsia="Times New Roman"/>
          <w:b/>
          <w:sz w:val="22"/>
          <w:szCs w:val="22"/>
        </w:rPr>
        <w:t xml:space="preserve">ARTÍCULO 1.- OBJETO. </w:t>
      </w:r>
      <w:r w:rsidRPr="006C33CE">
        <w:rPr>
          <w:rFonts w:eastAsia="Times New Roman"/>
          <w:sz w:val="22"/>
          <w:szCs w:val="22"/>
        </w:rPr>
        <w:t>El presente Acuerdo tiene por objeto derogar el Acuerdo 273 de 2007 y establecer lineamientos para que la Secretaría de Educación del Distrito cree incentivos dirigidos a la comunidad educativa para promover y fomentar el mejoramiento de la calidad educativa, al igual que fortalecer la permanencia escolar en las aulas.</w:t>
      </w:r>
    </w:p>
    <w:p w14:paraId="61511A3A" w14:textId="77777777" w:rsidR="006F4987" w:rsidRPr="006C33CE" w:rsidRDefault="006F4987" w:rsidP="006F4987">
      <w:pPr>
        <w:widowControl w:val="0"/>
        <w:jc w:val="both"/>
        <w:rPr>
          <w:rFonts w:eastAsia="Times New Roman"/>
          <w:b/>
          <w:sz w:val="22"/>
          <w:szCs w:val="22"/>
        </w:rPr>
      </w:pPr>
    </w:p>
    <w:p w14:paraId="24BC117D" w14:textId="5DF79EBB" w:rsidR="006F4987" w:rsidRPr="006C33CE" w:rsidRDefault="006F4987" w:rsidP="006F4987">
      <w:pPr>
        <w:shd w:val="clear" w:color="auto" w:fill="FFFFFF"/>
        <w:jc w:val="center"/>
        <w:rPr>
          <w:rFonts w:eastAsia="Times New Roman"/>
          <w:b/>
          <w:sz w:val="22"/>
          <w:szCs w:val="22"/>
        </w:rPr>
      </w:pPr>
      <w:r w:rsidRPr="006C33CE">
        <w:rPr>
          <w:rFonts w:eastAsia="Times New Roman"/>
          <w:b/>
          <w:sz w:val="22"/>
          <w:szCs w:val="22"/>
        </w:rPr>
        <w:t>CAPÍTULO 1.</w:t>
      </w:r>
    </w:p>
    <w:p w14:paraId="57ED53CF" w14:textId="1FD40B23" w:rsidR="006F4987" w:rsidRPr="006C33CE" w:rsidRDefault="006F4987" w:rsidP="006F4987">
      <w:pPr>
        <w:shd w:val="clear" w:color="auto" w:fill="FFFFFF"/>
        <w:jc w:val="center"/>
        <w:rPr>
          <w:rFonts w:eastAsia="Times New Roman"/>
          <w:b/>
          <w:sz w:val="22"/>
          <w:szCs w:val="22"/>
        </w:rPr>
      </w:pPr>
      <w:r w:rsidRPr="006C33CE">
        <w:rPr>
          <w:rFonts w:eastAsia="Times New Roman"/>
          <w:b/>
          <w:sz w:val="22"/>
          <w:szCs w:val="22"/>
        </w:rPr>
        <w:t>ESTRATEGIAS DE PERMANENCIA ESCOLAR</w:t>
      </w:r>
    </w:p>
    <w:p w14:paraId="46B5146D" w14:textId="77777777" w:rsidR="006F4987" w:rsidRPr="006C33CE" w:rsidRDefault="006F4987" w:rsidP="006F4987">
      <w:pPr>
        <w:shd w:val="clear" w:color="auto" w:fill="FFFFFF"/>
        <w:jc w:val="both"/>
        <w:rPr>
          <w:rFonts w:eastAsia="Times New Roman"/>
          <w:b/>
          <w:sz w:val="22"/>
          <w:szCs w:val="22"/>
        </w:rPr>
      </w:pPr>
    </w:p>
    <w:p w14:paraId="2BDD667A" w14:textId="7F916038" w:rsidR="006F4987" w:rsidRPr="006C33CE" w:rsidRDefault="006F4987" w:rsidP="006F4987">
      <w:pPr>
        <w:shd w:val="clear" w:color="auto" w:fill="FFFFFF"/>
        <w:jc w:val="both"/>
        <w:rPr>
          <w:rFonts w:eastAsia="Times New Roman"/>
          <w:sz w:val="22"/>
          <w:szCs w:val="22"/>
        </w:rPr>
      </w:pPr>
      <w:r w:rsidRPr="006C33CE">
        <w:rPr>
          <w:rFonts w:eastAsia="Times New Roman"/>
          <w:b/>
          <w:sz w:val="22"/>
          <w:szCs w:val="22"/>
        </w:rPr>
        <w:t xml:space="preserve">ARTÍCULO 2.- GRATUIDAD. </w:t>
      </w:r>
      <w:r w:rsidRPr="006C33CE">
        <w:rPr>
          <w:rFonts w:eastAsia="Times New Roman"/>
          <w:sz w:val="22"/>
          <w:szCs w:val="22"/>
        </w:rPr>
        <w:t>La Secretaría de Educación del Distrito garantizará la gratuidad para todas y todos los estudiantes de las instituciones educativas oficiales de Bogotá, desde primera infancia hasta educación media o educación por ciclos. Las Instituciones Educativas Distritales (IED) no podrán realizar cobros por derechos académicos o servicios complementarios.</w:t>
      </w:r>
    </w:p>
    <w:p w14:paraId="67B117BB" w14:textId="77777777" w:rsidR="006F4987" w:rsidRPr="006C33CE" w:rsidRDefault="006F4987" w:rsidP="006F4987">
      <w:pPr>
        <w:shd w:val="clear" w:color="auto" w:fill="FFFFFF"/>
        <w:jc w:val="both"/>
        <w:rPr>
          <w:rFonts w:eastAsia="Times New Roman"/>
          <w:sz w:val="22"/>
          <w:szCs w:val="22"/>
        </w:rPr>
      </w:pPr>
    </w:p>
    <w:p w14:paraId="0FE850BB" w14:textId="28F5BFEB" w:rsidR="006F4987" w:rsidRPr="006C33CE" w:rsidRDefault="006F4987" w:rsidP="006F4987">
      <w:pPr>
        <w:shd w:val="clear" w:color="auto" w:fill="FFFFFF"/>
        <w:jc w:val="both"/>
        <w:rPr>
          <w:rFonts w:eastAsia="Times New Roman"/>
          <w:b/>
          <w:sz w:val="22"/>
          <w:szCs w:val="22"/>
        </w:rPr>
      </w:pPr>
      <w:r w:rsidRPr="006C33CE">
        <w:rPr>
          <w:rFonts w:eastAsia="Times New Roman"/>
          <w:b/>
          <w:sz w:val="22"/>
          <w:szCs w:val="22"/>
          <w:highlight w:val="white"/>
        </w:rPr>
        <w:t>PARÁGRAFO.</w:t>
      </w:r>
      <w:r w:rsidRPr="006C33CE">
        <w:rPr>
          <w:rFonts w:eastAsia="Times New Roman"/>
          <w:sz w:val="22"/>
          <w:szCs w:val="22"/>
          <w:highlight w:val="white"/>
        </w:rPr>
        <w:t xml:space="preserve"> La Secretaría de Educación del Distrito priorizará a estudiantes que se encuentren en situación de vulnerabilidad manifiesta.</w:t>
      </w:r>
    </w:p>
    <w:p w14:paraId="5E6DC9B5" w14:textId="77777777" w:rsidR="006F4987" w:rsidRPr="006C33CE" w:rsidRDefault="006F4987" w:rsidP="006F4987">
      <w:pPr>
        <w:widowControl w:val="0"/>
        <w:jc w:val="both"/>
        <w:rPr>
          <w:rFonts w:eastAsia="Times New Roman"/>
          <w:b/>
          <w:sz w:val="22"/>
          <w:szCs w:val="22"/>
        </w:rPr>
      </w:pPr>
    </w:p>
    <w:p w14:paraId="34E0124D" w14:textId="76D0527D" w:rsidR="006F4987" w:rsidRPr="006C33CE" w:rsidRDefault="006F4987" w:rsidP="006F4987">
      <w:pPr>
        <w:shd w:val="clear" w:color="auto" w:fill="FFFFFF"/>
        <w:jc w:val="both"/>
        <w:rPr>
          <w:rFonts w:eastAsia="Times New Roman"/>
          <w:sz w:val="22"/>
          <w:szCs w:val="22"/>
        </w:rPr>
      </w:pPr>
      <w:r w:rsidRPr="006C33CE">
        <w:rPr>
          <w:rFonts w:eastAsia="Times New Roman"/>
          <w:b/>
          <w:sz w:val="22"/>
          <w:szCs w:val="22"/>
        </w:rPr>
        <w:t>ARTÍCULO 3.- TRANSPORTE ESCOLAR.</w:t>
      </w:r>
      <w:r w:rsidRPr="006C33CE">
        <w:rPr>
          <w:rFonts w:eastAsia="Times New Roman"/>
          <w:sz w:val="22"/>
          <w:szCs w:val="22"/>
        </w:rPr>
        <w:t xml:space="preserve"> Cuando no sea posible ofrecer el servicio educativo cerca de la residencia del estudiante, la Secretaría de Educación del Distrito garantizará su acceso a la educación mediante el suministro de apoyos de transporte escolar. Para tal fin, podrá implementar distintas modalidades, tales como rutas contratadas directamente; subsidios de transporte; transporte por medios alternativos (caminata, bicicleta, </w:t>
      </w:r>
      <w:proofErr w:type="spellStart"/>
      <w:r w:rsidRPr="006C33CE">
        <w:rPr>
          <w:rFonts w:eastAsia="Times New Roman"/>
          <w:sz w:val="22"/>
          <w:szCs w:val="22"/>
        </w:rPr>
        <w:t>tricimoviles</w:t>
      </w:r>
      <w:proofErr w:type="spellEnd"/>
      <w:r w:rsidRPr="006C33CE">
        <w:rPr>
          <w:rFonts w:eastAsia="Times New Roman"/>
          <w:sz w:val="22"/>
          <w:szCs w:val="22"/>
        </w:rPr>
        <w:t>, patinetas, vehículos eléctricos/híbridos y en general medios no contaminantes); mediante convenios con operadores de transporte público masivo u otras formas que se definan en el marco de la política pública de acceso y permanencia.</w:t>
      </w:r>
    </w:p>
    <w:p w14:paraId="132ADCE2" w14:textId="77777777" w:rsidR="006F4987" w:rsidRPr="006C33CE" w:rsidRDefault="006F4987" w:rsidP="006F4987">
      <w:pPr>
        <w:shd w:val="clear" w:color="auto" w:fill="FFFFFF"/>
        <w:jc w:val="both"/>
        <w:rPr>
          <w:rFonts w:eastAsia="Times New Roman"/>
          <w:sz w:val="22"/>
          <w:szCs w:val="22"/>
        </w:rPr>
      </w:pPr>
    </w:p>
    <w:p w14:paraId="6E687376" w14:textId="77777777" w:rsidR="006F4987" w:rsidRPr="006C33CE" w:rsidRDefault="006F4987" w:rsidP="006F4987">
      <w:pPr>
        <w:shd w:val="clear" w:color="auto" w:fill="FFFFFF"/>
        <w:jc w:val="both"/>
        <w:rPr>
          <w:rFonts w:eastAsia="Times New Roman"/>
          <w:sz w:val="22"/>
          <w:szCs w:val="22"/>
        </w:rPr>
      </w:pPr>
      <w:r w:rsidRPr="006C33CE">
        <w:rPr>
          <w:rFonts w:eastAsia="Times New Roman"/>
          <w:sz w:val="22"/>
          <w:szCs w:val="22"/>
        </w:rPr>
        <w:t>Los apoyos de transporte estarán condicionados a la verificación de la asistencia regular de los estudiantes beneficiarios.</w:t>
      </w:r>
    </w:p>
    <w:p w14:paraId="382259E6" w14:textId="77777777" w:rsidR="006F4987" w:rsidRPr="006C33CE" w:rsidRDefault="006F4987" w:rsidP="006F4987">
      <w:pPr>
        <w:jc w:val="both"/>
        <w:rPr>
          <w:rFonts w:eastAsia="Times New Roman"/>
          <w:sz w:val="22"/>
          <w:szCs w:val="22"/>
        </w:rPr>
      </w:pPr>
    </w:p>
    <w:p w14:paraId="18DF92EA" w14:textId="30F9877D" w:rsidR="006F4987" w:rsidRPr="006C33CE" w:rsidRDefault="006F4987" w:rsidP="006F4987">
      <w:pPr>
        <w:widowControl w:val="0"/>
        <w:jc w:val="both"/>
        <w:rPr>
          <w:rFonts w:eastAsia="Times New Roman"/>
          <w:strike/>
          <w:sz w:val="22"/>
          <w:szCs w:val="22"/>
        </w:rPr>
      </w:pPr>
      <w:r w:rsidRPr="006C33CE">
        <w:rPr>
          <w:rFonts w:eastAsia="Times New Roman"/>
          <w:b/>
          <w:sz w:val="22"/>
          <w:szCs w:val="22"/>
        </w:rPr>
        <w:t>ARTÍCULO 4.- ALIMENTACIÓN ESCOLAR.</w:t>
      </w:r>
      <w:r w:rsidRPr="006C33CE">
        <w:rPr>
          <w:rFonts w:eastAsia="Times New Roman"/>
          <w:sz w:val="22"/>
          <w:szCs w:val="22"/>
        </w:rPr>
        <w:t xml:space="preserve"> La Secretaría de Educación del Distrito podrá suministrar el Programa de Alimentación Escolar (PAE) a estudiantes en las Instituciones </w:t>
      </w:r>
      <w:r w:rsidRPr="006C33CE">
        <w:rPr>
          <w:rFonts w:eastAsia="Times New Roman"/>
          <w:sz w:val="22"/>
          <w:szCs w:val="22"/>
        </w:rPr>
        <w:lastRenderedPageBreak/>
        <w:t>Educativas Distritales (IED) por períodos iguales o superiores al calendario académico, de acuerdo con los principios de planeación presupuestal y los criterios de sostenibilidad fiscal contenidos en el ordenamiento jurídico colombiano.</w:t>
      </w:r>
    </w:p>
    <w:p w14:paraId="5413E3FD" w14:textId="77777777" w:rsidR="006F4987" w:rsidRPr="006C33CE" w:rsidRDefault="006F4987" w:rsidP="006F4987">
      <w:pPr>
        <w:widowControl w:val="0"/>
        <w:jc w:val="both"/>
        <w:rPr>
          <w:rFonts w:eastAsia="Times New Roman"/>
          <w:strike/>
          <w:sz w:val="22"/>
          <w:szCs w:val="22"/>
        </w:rPr>
      </w:pPr>
    </w:p>
    <w:p w14:paraId="1A1E379B" w14:textId="77777777" w:rsidR="006F4987" w:rsidRPr="006C33CE" w:rsidRDefault="006F4987" w:rsidP="006F4987">
      <w:pPr>
        <w:widowControl w:val="0"/>
        <w:jc w:val="both"/>
        <w:rPr>
          <w:rFonts w:eastAsia="Times New Roman"/>
          <w:sz w:val="22"/>
          <w:szCs w:val="22"/>
        </w:rPr>
      </w:pPr>
      <w:r w:rsidRPr="006C33CE">
        <w:rPr>
          <w:rFonts w:eastAsia="Times New Roman"/>
          <w:b/>
          <w:sz w:val="22"/>
          <w:szCs w:val="22"/>
        </w:rPr>
        <w:t xml:space="preserve">PARÁGRAFO. </w:t>
      </w:r>
      <w:r w:rsidRPr="006C33CE">
        <w:rPr>
          <w:rFonts w:eastAsia="Times New Roman"/>
          <w:sz w:val="22"/>
          <w:szCs w:val="22"/>
        </w:rPr>
        <w:t>La Secretaría de Educación del Distrito podrá disponer, con recursos del presupuesto distrital, la entrega de refrigerios a estudiantes durante la aplicación de las pruebas Saber 11 en instituciones educativas de Bogotá.</w:t>
      </w:r>
    </w:p>
    <w:p w14:paraId="1447EEDB" w14:textId="77777777" w:rsidR="006F4987" w:rsidRPr="006C33CE" w:rsidRDefault="006F4987" w:rsidP="006F4987">
      <w:pPr>
        <w:widowControl w:val="0"/>
        <w:jc w:val="both"/>
        <w:rPr>
          <w:rFonts w:eastAsia="Times New Roman"/>
          <w:sz w:val="22"/>
          <w:szCs w:val="22"/>
        </w:rPr>
      </w:pPr>
    </w:p>
    <w:p w14:paraId="26A30E38" w14:textId="6FCF8679" w:rsidR="006F4987" w:rsidRPr="006C33CE" w:rsidRDefault="006F4987" w:rsidP="006F4987">
      <w:pPr>
        <w:widowControl w:val="0"/>
        <w:jc w:val="both"/>
        <w:rPr>
          <w:rFonts w:eastAsia="Times New Roman"/>
          <w:sz w:val="22"/>
          <w:szCs w:val="22"/>
        </w:rPr>
      </w:pPr>
      <w:r w:rsidRPr="006C33CE">
        <w:rPr>
          <w:rFonts w:eastAsia="Times New Roman"/>
          <w:b/>
          <w:sz w:val="22"/>
          <w:szCs w:val="22"/>
        </w:rPr>
        <w:t>ARTÍCULO 5.- ORIENTACIÓN SOCIO OCUPACIONAL.</w:t>
      </w:r>
      <w:r w:rsidRPr="006C33CE">
        <w:rPr>
          <w:rFonts w:eastAsia="Times New Roman"/>
          <w:sz w:val="22"/>
          <w:szCs w:val="22"/>
        </w:rPr>
        <w:t xml:space="preserve"> La Secretaría de Educación del Distrito promoverá acciones de orientación socio ocupacional a estudiantes de básica secundaria y educación media, incluyendo talleres de habilidades para la vida en los que acompañará a jóvenes en la búsqueda y definición de metas en sus proyectos de vida.</w:t>
      </w:r>
    </w:p>
    <w:p w14:paraId="586538D5" w14:textId="77777777" w:rsidR="006F4987" w:rsidRPr="006C33CE" w:rsidRDefault="006F4987" w:rsidP="006F4987">
      <w:pPr>
        <w:widowControl w:val="0"/>
        <w:jc w:val="both"/>
        <w:rPr>
          <w:rFonts w:eastAsia="Times New Roman"/>
          <w:sz w:val="22"/>
          <w:szCs w:val="22"/>
        </w:rPr>
      </w:pPr>
    </w:p>
    <w:p w14:paraId="3E422FF3" w14:textId="77777777" w:rsidR="006F4987" w:rsidRPr="006C33CE" w:rsidRDefault="006F4987" w:rsidP="006F4987">
      <w:pPr>
        <w:shd w:val="clear" w:color="auto" w:fill="FFFFFF"/>
        <w:jc w:val="center"/>
        <w:rPr>
          <w:rFonts w:eastAsia="Times New Roman"/>
          <w:b/>
          <w:sz w:val="22"/>
          <w:szCs w:val="22"/>
        </w:rPr>
      </w:pPr>
      <w:r w:rsidRPr="006C33CE">
        <w:rPr>
          <w:rFonts w:eastAsia="Times New Roman"/>
          <w:b/>
          <w:sz w:val="22"/>
          <w:szCs w:val="22"/>
        </w:rPr>
        <w:t>CAPÍTULO 2.</w:t>
      </w:r>
    </w:p>
    <w:p w14:paraId="0C365EB0" w14:textId="0766B56A" w:rsidR="006F4987" w:rsidRPr="006C33CE" w:rsidRDefault="006F4987" w:rsidP="006F4987">
      <w:pPr>
        <w:shd w:val="clear" w:color="auto" w:fill="FFFFFF"/>
        <w:jc w:val="center"/>
        <w:rPr>
          <w:rFonts w:eastAsia="Times New Roman"/>
          <w:b/>
          <w:sz w:val="22"/>
          <w:szCs w:val="22"/>
        </w:rPr>
      </w:pPr>
      <w:r w:rsidRPr="006C33CE">
        <w:rPr>
          <w:rFonts w:eastAsia="Times New Roman"/>
          <w:b/>
          <w:sz w:val="22"/>
          <w:szCs w:val="22"/>
        </w:rPr>
        <w:t>INCENTIVOS PARA EL MEJORAMIENTO DE LA CALIDAD EDUCATIVA DE BOGOTÁ</w:t>
      </w:r>
    </w:p>
    <w:p w14:paraId="1CDB3E83" w14:textId="77777777" w:rsidR="006F4987" w:rsidRPr="006C33CE" w:rsidRDefault="006F4987" w:rsidP="006F4987">
      <w:pPr>
        <w:jc w:val="both"/>
        <w:rPr>
          <w:rFonts w:eastAsia="Times New Roman"/>
          <w:sz w:val="22"/>
          <w:szCs w:val="22"/>
        </w:rPr>
      </w:pPr>
    </w:p>
    <w:p w14:paraId="21F9E063" w14:textId="0A4A54E4" w:rsidR="006F4987" w:rsidRPr="006C33CE" w:rsidRDefault="006F4987" w:rsidP="006F4987">
      <w:pPr>
        <w:jc w:val="both"/>
        <w:rPr>
          <w:rFonts w:eastAsia="Times New Roman"/>
          <w:b/>
          <w:sz w:val="22"/>
          <w:szCs w:val="22"/>
        </w:rPr>
      </w:pPr>
      <w:r w:rsidRPr="006C33CE">
        <w:rPr>
          <w:rFonts w:eastAsia="Times New Roman"/>
          <w:b/>
          <w:sz w:val="22"/>
          <w:szCs w:val="22"/>
        </w:rPr>
        <w:t xml:space="preserve">ARTÍCULO 6.- ESTÍMULOS PARA FORTALECIMIENTO DE LA PRIMERA INFANCIA. </w:t>
      </w:r>
      <w:r w:rsidRPr="006C33CE">
        <w:rPr>
          <w:rFonts w:eastAsia="Times New Roman"/>
          <w:sz w:val="22"/>
          <w:szCs w:val="22"/>
        </w:rPr>
        <w:t xml:space="preserve">La Secretaría de Educación del Distrito podrá otorgar incentivos a las Instituciones Educativas Distritales (IED) que desarrollen, implementen o fortalezcan estrategias innovadoras orientadas a la atención integral a la primera infancia. Estos estímulos reconocerán el compromiso con el desarrollo de niñas y niños menores de seis (6) años en aspectos pedagógicos, de participación familiar y de generación de entornos protectores que tengan en cuenta su edad, condiciones particulares y contexto sociocultural. Lo anterior, de conformidad con la Ley 1804 de 2016, el Decreto 1411 de 2022, el Acuerdo 991 de 2025 </w:t>
      </w:r>
      <w:r w:rsidRPr="006C33CE">
        <w:rPr>
          <w:rFonts w:eastAsia="Times New Roman"/>
          <w:sz w:val="22"/>
          <w:szCs w:val="22"/>
          <w:highlight w:val="white"/>
        </w:rPr>
        <w:t>y las demás normas que los modifiquen o sustituyan.</w:t>
      </w:r>
    </w:p>
    <w:p w14:paraId="0A2203AB" w14:textId="77777777" w:rsidR="006F4987" w:rsidRPr="006C33CE" w:rsidRDefault="006F4987" w:rsidP="006F4987">
      <w:pPr>
        <w:ind w:left="720"/>
        <w:jc w:val="both"/>
        <w:rPr>
          <w:rFonts w:eastAsia="Times New Roman"/>
          <w:b/>
          <w:sz w:val="22"/>
          <w:szCs w:val="22"/>
        </w:rPr>
      </w:pPr>
    </w:p>
    <w:p w14:paraId="55F37875" w14:textId="60A756D7" w:rsidR="006F4987" w:rsidRPr="006C33CE" w:rsidRDefault="006F4987" w:rsidP="006F4987">
      <w:pPr>
        <w:jc w:val="both"/>
        <w:rPr>
          <w:rFonts w:eastAsia="Times New Roman"/>
          <w:sz w:val="22"/>
          <w:szCs w:val="22"/>
        </w:rPr>
      </w:pPr>
      <w:r w:rsidRPr="006C33CE">
        <w:rPr>
          <w:rFonts w:eastAsia="Times New Roman"/>
          <w:b/>
          <w:sz w:val="22"/>
          <w:szCs w:val="22"/>
        </w:rPr>
        <w:t xml:space="preserve">ARTÍCULO 7.- ESTÍMULOS AL MEJORAMIENTO CONTINUO. </w:t>
      </w:r>
      <w:r w:rsidRPr="006C33CE">
        <w:rPr>
          <w:rFonts w:eastAsia="Times New Roman"/>
          <w:sz w:val="22"/>
          <w:szCs w:val="22"/>
        </w:rPr>
        <w:t xml:space="preserve">La Secretaría de Educación del Distrito podrá otorgar incentivos a las Instituciones Educativas Distritales (IED) que demuestren mejoras significativas, de un año a otro, en indicadores de desempeño académico y administrativo en iniciativas que reconozcan o promuevan las siguientes líneas: </w:t>
      </w:r>
    </w:p>
    <w:p w14:paraId="78610953" w14:textId="77777777" w:rsidR="006F4987" w:rsidRPr="006C33CE" w:rsidRDefault="006F4987" w:rsidP="006F4987">
      <w:pPr>
        <w:jc w:val="both"/>
        <w:rPr>
          <w:rFonts w:eastAsia="Times New Roman"/>
          <w:sz w:val="22"/>
          <w:szCs w:val="22"/>
        </w:rPr>
      </w:pPr>
    </w:p>
    <w:p w14:paraId="3DAFB9C7" w14:textId="181322A7"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 xml:space="preserve">Resultados de la prueba de Estado Saber 11, y pruebas que evalúen la básica primaria y básica secundaria; </w:t>
      </w:r>
    </w:p>
    <w:p w14:paraId="1976CE41" w14:textId="4F9E8265"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 xml:space="preserve">Bilingüismo: avances en el desarrollo de competencias en una segunda lengua; </w:t>
      </w:r>
    </w:p>
    <w:p w14:paraId="7DD3479C" w14:textId="0E314AD4"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Habilidades socioemocionales, bienestar emocional, cultura de paz y convivencia escolar;</w:t>
      </w:r>
    </w:p>
    <w:p w14:paraId="2D6F2E20" w14:textId="28461B51"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Aprobación y permanencia escolar;</w:t>
      </w:r>
    </w:p>
    <w:p w14:paraId="1D493E3F" w14:textId="4026813E"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 xml:space="preserve">Articulación curricular y pedagógica con la educación media; </w:t>
      </w:r>
    </w:p>
    <w:p w14:paraId="1DE5A858" w14:textId="0D7E275E"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Incremento en las tasas de graduación;</w:t>
      </w:r>
    </w:p>
    <w:p w14:paraId="0E77E6F4" w14:textId="0B416D8F"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Tránsito efectivo hacia la educación terciaria;</w:t>
      </w:r>
    </w:p>
    <w:p w14:paraId="28E3CDD9" w14:textId="3C2CC09F"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Inclusión y equidad en la educación;</w:t>
      </w:r>
    </w:p>
    <w:p w14:paraId="465CC1F1" w14:textId="304CF3FD"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Excelencia en la labor docente;</w:t>
      </w:r>
    </w:p>
    <w:p w14:paraId="6F8918A8" w14:textId="425D2009" w:rsidR="006F4987" w:rsidRPr="001679C6" w:rsidRDefault="006F4987" w:rsidP="001679C6">
      <w:pPr>
        <w:pStyle w:val="Prrafodelista"/>
        <w:numPr>
          <w:ilvl w:val="0"/>
          <w:numId w:val="4"/>
        </w:numPr>
        <w:jc w:val="both"/>
        <w:rPr>
          <w:rFonts w:eastAsia="Times New Roman"/>
          <w:sz w:val="22"/>
          <w:szCs w:val="22"/>
        </w:rPr>
      </w:pPr>
      <w:r w:rsidRPr="001679C6">
        <w:rPr>
          <w:rFonts w:eastAsia="Times New Roman"/>
          <w:sz w:val="22"/>
          <w:szCs w:val="22"/>
        </w:rPr>
        <w:t>Metas de calidad en la prestación de servicios en zonas rurales y,</w:t>
      </w:r>
    </w:p>
    <w:p w14:paraId="7983EAA0" w14:textId="54C0ED26" w:rsidR="006F4987" w:rsidRPr="001679C6" w:rsidRDefault="006F4987" w:rsidP="001679C6">
      <w:pPr>
        <w:pStyle w:val="Prrafodelista"/>
        <w:numPr>
          <w:ilvl w:val="0"/>
          <w:numId w:val="4"/>
        </w:numPr>
        <w:jc w:val="both"/>
        <w:rPr>
          <w:rFonts w:eastAsia="Times New Roman"/>
          <w:b/>
          <w:sz w:val="22"/>
          <w:szCs w:val="22"/>
        </w:rPr>
      </w:pPr>
      <w:r w:rsidRPr="001679C6">
        <w:rPr>
          <w:rFonts w:eastAsia="Times New Roman"/>
          <w:sz w:val="22"/>
          <w:szCs w:val="22"/>
        </w:rPr>
        <w:t>Eficiente y transparente ejecución presupuestal.</w:t>
      </w:r>
    </w:p>
    <w:p w14:paraId="54CCF73B" w14:textId="77777777" w:rsidR="006F4987" w:rsidRPr="006C33CE" w:rsidRDefault="006F4987" w:rsidP="006F4987">
      <w:pPr>
        <w:ind w:left="360"/>
        <w:jc w:val="both"/>
        <w:rPr>
          <w:rFonts w:eastAsia="Times New Roman"/>
          <w:b/>
          <w:sz w:val="22"/>
          <w:szCs w:val="22"/>
        </w:rPr>
      </w:pPr>
    </w:p>
    <w:p w14:paraId="56357D0E" w14:textId="472A2A3B" w:rsidR="006F4987" w:rsidRPr="006C33CE" w:rsidRDefault="006F4987" w:rsidP="006F4987">
      <w:pPr>
        <w:jc w:val="both"/>
        <w:rPr>
          <w:rFonts w:eastAsia="Times New Roman"/>
          <w:b/>
          <w:sz w:val="22"/>
          <w:szCs w:val="22"/>
        </w:rPr>
      </w:pPr>
      <w:r w:rsidRPr="006C33CE">
        <w:rPr>
          <w:rFonts w:eastAsia="Times New Roman"/>
          <w:b/>
          <w:sz w:val="22"/>
          <w:szCs w:val="22"/>
        </w:rPr>
        <w:t xml:space="preserve">ARTÍCULO 8.- MEJORES PRUEBAS SABER 11. </w:t>
      </w:r>
      <w:r w:rsidRPr="006C33CE">
        <w:rPr>
          <w:rFonts w:eastAsia="Times New Roman"/>
          <w:sz w:val="22"/>
          <w:szCs w:val="22"/>
        </w:rPr>
        <w:t xml:space="preserve">La Secretaría de Educación del Distrito en coordinación con La Agencia Distrital para la Educación Superior, la Ciencia y la Tecnología – Atenea, podrá otorgar becas de educación terciaria en Bogotá, D.C., a </w:t>
      </w:r>
      <w:r w:rsidRPr="006C33CE">
        <w:rPr>
          <w:rFonts w:eastAsia="Times New Roman"/>
          <w:sz w:val="22"/>
          <w:szCs w:val="22"/>
        </w:rPr>
        <w:lastRenderedPageBreak/>
        <w:t>estudiantes de colegios oficiales del Distrito que hayan obtenido resultados sobresalientes en la prueba de Estado Saber 11, en instituciones de educación superior públicas o privadas con acreditación de alta calidad.</w:t>
      </w:r>
    </w:p>
    <w:p w14:paraId="5D0B6E22" w14:textId="77777777" w:rsidR="006F4987" w:rsidRPr="006C33CE" w:rsidRDefault="006F4987" w:rsidP="006F4987">
      <w:pPr>
        <w:ind w:left="360"/>
        <w:jc w:val="both"/>
        <w:rPr>
          <w:rFonts w:eastAsia="Times New Roman"/>
          <w:b/>
          <w:sz w:val="22"/>
          <w:szCs w:val="22"/>
        </w:rPr>
      </w:pPr>
    </w:p>
    <w:p w14:paraId="1A8CE559" w14:textId="37A2F692" w:rsidR="006F4987" w:rsidRPr="006C33CE" w:rsidRDefault="006F4987" w:rsidP="006F4987">
      <w:pPr>
        <w:jc w:val="both"/>
        <w:rPr>
          <w:rFonts w:eastAsia="Times New Roman"/>
          <w:sz w:val="22"/>
          <w:szCs w:val="22"/>
        </w:rPr>
      </w:pPr>
      <w:r w:rsidRPr="006C33CE">
        <w:rPr>
          <w:rFonts w:eastAsia="Times New Roman"/>
          <w:b/>
          <w:sz w:val="22"/>
          <w:szCs w:val="22"/>
        </w:rPr>
        <w:t>ARTÍCULO 9.- REGLAMENTACIÓN DE LOS INCENTIVOS.</w:t>
      </w:r>
      <w:r w:rsidRPr="006C33CE">
        <w:rPr>
          <w:rFonts w:eastAsia="Times New Roman"/>
          <w:sz w:val="22"/>
          <w:szCs w:val="22"/>
        </w:rPr>
        <w:t xml:space="preserve"> La Secretaría de Educación del Distrito, en el marco de sus competencias, definirá anualmente la reglamentación de estos estímulos por su relevancia estratégica y coyuntural, los criterios para otorgarlos y los mecanismos de selección, conforme a las metas anuales del sector o del Plan de Desarrollo Distrital vigente. Todo ello con el propósito de fortalecer la educación de la ciudad mediante incentivos que promuevan el desarrollo de las líneas estratégicas del sistema educativo. </w:t>
      </w:r>
      <w:bookmarkStart w:id="0" w:name="_GoBack"/>
      <w:r w:rsidRPr="006C33CE">
        <w:rPr>
          <w:rFonts w:eastAsia="Times New Roman"/>
          <w:sz w:val="22"/>
          <w:szCs w:val="22"/>
        </w:rPr>
        <w:t xml:space="preserve">Estos incentivos deberán hacerse públicos para el reconocimiento de las personas ganadoras. </w:t>
      </w:r>
      <w:bookmarkEnd w:id="0"/>
    </w:p>
    <w:p w14:paraId="2A473663" w14:textId="77777777" w:rsidR="006F4987" w:rsidRPr="006C33CE" w:rsidRDefault="006F4987" w:rsidP="006F4987">
      <w:pPr>
        <w:jc w:val="both"/>
        <w:rPr>
          <w:rFonts w:eastAsia="Times New Roman"/>
          <w:sz w:val="22"/>
          <w:szCs w:val="22"/>
        </w:rPr>
      </w:pPr>
    </w:p>
    <w:p w14:paraId="08FE5081" w14:textId="77777777" w:rsidR="006F4987" w:rsidRPr="006C33CE" w:rsidRDefault="006F4987" w:rsidP="006F4987">
      <w:pPr>
        <w:jc w:val="both"/>
        <w:rPr>
          <w:rFonts w:eastAsia="Times New Roman"/>
          <w:sz w:val="22"/>
          <w:szCs w:val="22"/>
        </w:rPr>
      </w:pPr>
      <w:r w:rsidRPr="006C33CE">
        <w:rPr>
          <w:rFonts w:eastAsia="Times New Roman"/>
          <w:sz w:val="22"/>
          <w:szCs w:val="22"/>
        </w:rPr>
        <w:t>La Secretaría de Educación del Distrito deberá dar a conocer públicamente los incentivos otorgados, con el fin de garantizar la transparencia y el reconocimiento de las personas beneficiarias.</w:t>
      </w:r>
    </w:p>
    <w:p w14:paraId="1F6324DB" w14:textId="77777777" w:rsidR="006F4987" w:rsidRPr="006C33CE" w:rsidRDefault="006F4987" w:rsidP="006F4987">
      <w:pPr>
        <w:jc w:val="both"/>
        <w:rPr>
          <w:rFonts w:eastAsia="Times New Roman"/>
          <w:sz w:val="22"/>
          <w:szCs w:val="22"/>
        </w:rPr>
      </w:pPr>
    </w:p>
    <w:p w14:paraId="39899DAE" w14:textId="77777777" w:rsidR="006F4987" w:rsidRPr="006C33CE" w:rsidRDefault="006F4987" w:rsidP="006F4987">
      <w:pPr>
        <w:jc w:val="both"/>
        <w:rPr>
          <w:rFonts w:eastAsia="Times New Roman"/>
          <w:sz w:val="22"/>
          <w:szCs w:val="22"/>
        </w:rPr>
      </w:pPr>
      <w:r w:rsidRPr="006C33CE">
        <w:rPr>
          <w:rFonts w:eastAsia="Times New Roman"/>
          <w:b/>
          <w:sz w:val="22"/>
          <w:szCs w:val="22"/>
        </w:rPr>
        <w:t>PARÁGRAFO 1.</w:t>
      </w:r>
      <w:r w:rsidRPr="006C33CE">
        <w:rPr>
          <w:rFonts w:eastAsia="Times New Roman"/>
          <w:sz w:val="22"/>
          <w:szCs w:val="22"/>
        </w:rPr>
        <w:t xml:space="preserve"> Los incentivos podrán ser de carácter pecuniario o no pecuniario y estarán dirigidos a estudiantes, docentes o instituciones educativas, de acuerdo con lo que determine la Secretaría de Educación del Distrito anualmente.</w:t>
      </w:r>
    </w:p>
    <w:p w14:paraId="6F72F7EC" w14:textId="77777777" w:rsidR="006F4987" w:rsidRPr="006C33CE" w:rsidRDefault="006F4987" w:rsidP="006F4987">
      <w:pPr>
        <w:spacing w:before="240" w:after="240"/>
        <w:jc w:val="both"/>
        <w:rPr>
          <w:rFonts w:eastAsia="Times New Roman"/>
          <w:sz w:val="22"/>
          <w:szCs w:val="22"/>
        </w:rPr>
      </w:pPr>
      <w:r w:rsidRPr="006C33CE">
        <w:rPr>
          <w:rFonts w:eastAsia="Times New Roman"/>
          <w:sz w:val="22"/>
          <w:szCs w:val="22"/>
        </w:rPr>
        <w:t>Cuando los incentivos se otorguen al personal docente, en ningún caso constituirán factor salarial, prestacional o pensional.</w:t>
      </w:r>
    </w:p>
    <w:p w14:paraId="289DFF2A" w14:textId="77777777" w:rsidR="006F4987" w:rsidRPr="006C33CE" w:rsidRDefault="006F4987" w:rsidP="006F4987">
      <w:pPr>
        <w:jc w:val="both"/>
        <w:rPr>
          <w:rFonts w:eastAsia="Times New Roman"/>
          <w:b/>
          <w:sz w:val="22"/>
          <w:szCs w:val="22"/>
        </w:rPr>
      </w:pPr>
      <w:r w:rsidRPr="006C33CE">
        <w:rPr>
          <w:rFonts w:eastAsia="Times New Roman"/>
          <w:b/>
          <w:sz w:val="22"/>
          <w:szCs w:val="22"/>
        </w:rPr>
        <w:t>PARÁGRAFO 2.</w:t>
      </w:r>
      <w:r w:rsidRPr="006C33CE">
        <w:rPr>
          <w:rFonts w:eastAsia="Times New Roman"/>
          <w:sz w:val="22"/>
          <w:szCs w:val="22"/>
        </w:rPr>
        <w:t xml:space="preserve"> La Secretaría podrá destinar, como partida presupuestal para los incentivos, un monto mínimo de trescientos (300) salarios mínimos legales mensuales vigentes (SMLMV) anuales. En todo caso, no podrán emplearse los recursos del Sistema General de Participaciones para el pago de estos y se realizará exclusivamente con recursos propios de Bogotá, D.C. para lo cual la Secretaría de Educación del Distrito dispondrá lo pertinente.</w:t>
      </w:r>
    </w:p>
    <w:p w14:paraId="5052AD6C" w14:textId="77777777" w:rsidR="006F4987" w:rsidRPr="006C33CE" w:rsidRDefault="006F4987" w:rsidP="006F4987">
      <w:pPr>
        <w:ind w:left="360"/>
        <w:jc w:val="both"/>
        <w:rPr>
          <w:rFonts w:eastAsia="Times New Roman"/>
          <w:b/>
          <w:sz w:val="22"/>
          <w:szCs w:val="22"/>
        </w:rPr>
      </w:pPr>
    </w:p>
    <w:p w14:paraId="0ED3E6CC" w14:textId="77777777" w:rsidR="006F4987" w:rsidRPr="006C33CE" w:rsidRDefault="006F4987" w:rsidP="006F4987">
      <w:pPr>
        <w:shd w:val="clear" w:color="auto" w:fill="FFFFFF"/>
        <w:jc w:val="center"/>
        <w:rPr>
          <w:rFonts w:eastAsia="Times New Roman"/>
          <w:b/>
          <w:sz w:val="22"/>
          <w:szCs w:val="22"/>
        </w:rPr>
      </w:pPr>
      <w:r w:rsidRPr="006C33CE">
        <w:rPr>
          <w:rFonts w:eastAsia="Times New Roman"/>
          <w:b/>
          <w:sz w:val="22"/>
          <w:szCs w:val="22"/>
        </w:rPr>
        <w:t>CAPÍTULO 3.</w:t>
      </w:r>
    </w:p>
    <w:p w14:paraId="7249DC6D" w14:textId="01DA106A" w:rsidR="006F4987" w:rsidRPr="006C33CE" w:rsidRDefault="006F4987" w:rsidP="006F4987">
      <w:pPr>
        <w:shd w:val="clear" w:color="auto" w:fill="FFFFFF"/>
        <w:jc w:val="center"/>
        <w:rPr>
          <w:rFonts w:eastAsia="Times New Roman"/>
          <w:b/>
          <w:sz w:val="22"/>
          <w:szCs w:val="22"/>
        </w:rPr>
      </w:pPr>
      <w:r w:rsidRPr="006C33CE">
        <w:rPr>
          <w:rFonts w:eastAsia="Times New Roman"/>
          <w:b/>
          <w:sz w:val="22"/>
          <w:szCs w:val="22"/>
        </w:rPr>
        <w:t>OTRAS DISPOSICIONES</w:t>
      </w:r>
    </w:p>
    <w:p w14:paraId="169A23E8" w14:textId="77777777" w:rsidR="006F4987" w:rsidRPr="006C33CE" w:rsidRDefault="006F4987" w:rsidP="006F4987">
      <w:pPr>
        <w:jc w:val="both"/>
        <w:rPr>
          <w:rFonts w:eastAsia="Times New Roman"/>
          <w:sz w:val="22"/>
          <w:szCs w:val="22"/>
        </w:rPr>
      </w:pPr>
    </w:p>
    <w:p w14:paraId="32603ABF" w14:textId="4C8084A6" w:rsidR="006F4987" w:rsidRPr="006C33CE" w:rsidRDefault="006F4987" w:rsidP="006F4987">
      <w:pPr>
        <w:jc w:val="both"/>
        <w:rPr>
          <w:rFonts w:eastAsia="Times New Roman"/>
          <w:sz w:val="22"/>
          <w:szCs w:val="22"/>
        </w:rPr>
      </w:pPr>
      <w:r w:rsidRPr="006C33CE">
        <w:rPr>
          <w:rFonts w:eastAsia="Times New Roman"/>
          <w:b/>
          <w:sz w:val="22"/>
          <w:szCs w:val="22"/>
        </w:rPr>
        <w:t xml:space="preserve">ARTÍCULO 10.- DÍA DE LAS Y LOS EDUCADORES. </w:t>
      </w:r>
      <w:r w:rsidRPr="006C33CE">
        <w:rPr>
          <w:rFonts w:eastAsia="Times New Roman"/>
          <w:sz w:val="22"/>
          <w:szCs w:val="22"/>
        </w:rPr>
        <w:t>El 15 de mayo de cada año se celebrará el Día de las y los Educadores. Con este motivo la Secretaría de Educación</w:t>
      </w:r>
      <w:r w:rsidR="001679C6">
        <w:rPr>
          <w:rFonts w:eastAsia="Times New Roman"/>
          <w:sz w:val="22"/>
          <w:szCs w:val="22"/>
        </w:rPr>
        <w:t xml:space="preserve"> del Distrito</w:t>
      </w:r>
      <w:r w:rsidRPr="006C33CE">
        <w:rPr>
          <w:rFonts w:eastAsia="Times New Roman"/>
          <w:sz w:val="22"/>
          <w:szCs w:val="22"/>
        </w:rPr>
        <w:t>, en coordinación con las Instituciones Educativas Distritales (IED), promoverá la realización de actividades culturales, recreativas y sociales, con la participación de la comunidad educativa.</w:t>
      </w:r>
    </w:p>
    <w:p w14:paraId="30BA8575" w14:textId="77777777" w:rsidR="006F4987" w:rsidRPr="006C33CE" w:rsidRDefault="006F4987" w:rsidP="006F4987">
      <w:pPr>
        <w:jc w:val="both"/>
        <w:rPr>
          <w:rFonts w:eastAsia="Times New Roman"/>
          <w:sz w:val="22"/>
          <w:szCs w:val="22"/>
        </w:rPr>
      </w:pPr>
    </w:p>
    <w:p w14:paraId="7E9EABB2" w14:textId="163A74E5" w:rsidR="006F4987" w:rsidRPr="006C33CE" w:rsidRDefault="006F4987" w:rsidP="006F4987">
      <w:pPr>
        <w:jc w:val="both"/>
        <w:rPr>
          <w:rFonts w:eastAsia="Times New Roman"/>
          <w:sz w:val="22"/>
          <w:szCs w:val="22"/>
        </w:rPr>
      </w:pPr>
      <w:r w:rsidRPr="006C33CE">
        <w:rPr>
          <w:rFonts w:eastAsia="Times New Roman"/>
          <w:b/>
          <w:sz w:val="22"/>
          <w:szCs w:val="22"/>
        </w:rPr>
        <w:t xml:space="preserve">ARTÍCULO 11.- VIGENCIA. </w:t>
      </w:r>
      <w:r w:rsidRPr="006C33CE">
        <w:rPr>
          <w:rFonts w:eastAsia="Times New Roman"/>
          <w:sz w:val="22"/>
          <w:szCs w:val="22"/>
        </w:rPr>
        <w:t>El presente acuerdo rige a partir de la fecha de su publicación y deroga expresamente el Acuerdo Distrital 273 de 2007, las demás normas que lo modifiquen o reglamenten, y las disposiciones que le sean contrarias.</w:t>
      </w:r>
    </w:p>
    <w:p w14:paraId="282DD5D5" w14:textId="77777777" w:rsidR="006F4987" w:rsidRPr="006C33CE" w:rsidRDefault="006F4987" w:rsidP="006F4987">
      <w:pPr>
        <w:jc w:val="center"/>
        <w:rPr>
          <w:rFonts w:eastAsia="Times New Roman"/>
          <w:sz w:val="22"/>
          <w:szCs w:val="22"/>
        </w:rPr>
      </w:pPr>
    </w:p>
    <w:p w14:paraId="1E788CFE" w14:textId="77777777" w:rsidR="006F4987" w:rsidRPr="006C33CE" w:rsidRDefault="006F4987" w:rsidP="006F4987">
      <w:pPr>
        <w:jc w:val="center"/>
        <w:rPr>
          <w:rFonts w:eastAsia="Times New Roman"/>
          <w:b/>
          <w:sz w:val="22"/>
          <w:szCs w:val="22"/>
        </w:rPr>
      </w:pPr>
    </w:p>
    <w:p w14:paraId="50F919AA" w14:textId="12C9E106" w:rsidR="00E341C0" w:rsidRPr="006C33CE" w:rsidRDefault="006F4987" w:rsidP="006C33CE">
      <w:pPr>
        <w:jc w:val="center"/>
        <w:rPr>
          <w:b/>
          <w:sz w:val="22"/>
          <w:szCs w:val="22"/>
          <w:lang w:val="en-US"/>
        </w:rPr>
      </w:pPr>
      <w:r w:rsidRPr="006C33CE">
        <w:rPr>
          <w:rFonts w:eastAsia="Times New Roman"/>
          <w:b/>
          <w:sz w:val="22"/>
          <w:szCs w:val="22"/>
        </w:rPr>
        <w:t>PUBLÍQUESE Y CÚMPLASE</w:t>
      </w:r>
    </w:p>
    <w:sectPr w:rsidR="00E341C0" w:rsidRPr="006C33CE" w:rsidSect="006C33CE">
      <w:headerReference w:type="default" r:id="rId8"/>
      <w:footerReference w:type="even" r:id="rId9"/>
      <w:footerReference w:type="default" r:id="rId10"/>
      <w:pgSz w:w="12242" w:h="15842"/>
      <w:pgMar w:top="1135"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97DD5" w14:textId="77777777" w:rsidR="009C023F" w:rsidRDefault="009C023F">
      <w:r>
        <w:separator/>
      </w:r>
    </w:p>
  </w:endnote>
  <w:endnote w:type="continuationSeparator" w:id="0">
    <w:p w14:paraId="330372CC" w14:textId="77777777" w:rsidR="009C023F" w:rsidRDefault="009C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46BD3" w14:textId="77777777" w:rsidR="00E341C0" w:rsidRDefault="00754B46">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67993672" w14:textId="77777777" w:rsidR="00E341C0" w:rsidRDefault="00E341C0">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7DB06" w14:textId="77777777" w:rsidR="00E341C0" w:rsidRDefault="00E341C0">
    <w:pPr>
      <w:pBdr>
        <w:top w:val="nil"/>
        <w:left w:val="nil"/>
        <w:bottom w:val="nil"/>
        <w:right w:val="nil"/>
        <w:between w:val="nil"/>
      </w:pBdr>
      <w:tabs>
        <w:tab w:val="center" w:pos="4252"/>
        <w:tab w:val="right" w:pos="8504"/>
      </w:tabs>
      <w:rPr>
        <w:sz w:val="16"/>
        <w:szCs w:val="16"/>
      </w:rPr>
    </w:pPr>
  </w:p>
  <w:p w14:paraId="7EEA37A3" w14:textId="77777777" w:rsidR="00E341C0" w:rsidRDefault="00E341C0">
    <w:pPr>
      <w:pBdr>
        <w:top w:val="nil"/>
        <w:left w:val="nil"/>
        <w:bottom w:val="nil"/>
        <w:right w:val="nil"/>
        <w:between w:val="nil"/>
      </w:pBdr>
      <w:tabs>
        <w:tab w:val="center" w:pos="4252"/>
        <w:tab w:val="right" w:pos="8504"/>
      </w:tabs>
      <w:rPr>
        <w:sz w:val="16"/>
        <w:szCs w:val="16"/>
      </w:rPr>
    </w:pPr>
  </w:p>
  <w:p w14:paraId="7A656CD6" w14:textId="77777777" w:rsidR="00E341C0" w:rsidRDefault="00E341C0">
    <w:pPr>
      <w:pBdr>
        <w:top w:val="nil"/>
        <w:left w:val="nil"/>
        <w:bottom w:val="nil"/>
        <w:right w:val="nil"/>
        <w:between w:val="nil"/>
      </w:pBdr>
      <w:tabs>
        <w:tab w:val="center" w:pos="4252"/>
        <w:tab w:val="right" w:pos="8504"/>
      </w:tabs>
      <w:rPr>
        <w:sz w:val="16"/>
        <w:szCs w:val="16"/>
      </w:rPr>
    </w:pPr>
  </w:p>
  <w:p w14:paraId="200D3AEA" w14:textId="77777777" w:rsidR="00E341C0" w:rsidRDefault="00E341C0">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24F2D" w14:textId="77777777" w:rsidR="009C023F" w:rsidRDefault="009C023F">
      <w:r>
        <w:separator/>
      </w:r>
    </w:p>
  </w:footnote>
  <w:footnote w:type="continuationSeparator" w:id="0">
    <w:p w14:paraId="52A52773" w14:textId="77777777" w:rsidR="009C023F" w:rsidRDefault="009C0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51A2" w14:textId="77777777" w:rsidR="00E341C0" w:rsidRDefault="00E341C0">
    <w:pPr>
      <w:widowControl w:val="0"/>
      <w:pBdr>
        <w:top w:val="nil"/>
        <w:left w:val="nil"/>
        <w:bottom w:val="nil"/>
        <w:right w:val="nil"/>
        <w:between w:val="nil"/>
      </w:pBdr>
      <w:spacing w:line="276" w:lineRule="auto"/>
      <w:rPr>
        <w:sz w:val="20"/>
        <w:szCs w:val="20"/>
      </w:rPr>
    </w:pPr>
  </w:p>
  <w:p w14:paraId="73A469D3" w14:textId="7D4DD3B6" w:rsidR="00E341C0" w:rsidRDefault="00E341C0">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1830"/>
    <w:multiLevelType w:val="hybridMultilevel"/>
    <w:tmpl w:val="FDEA888A"/>
    <w:lvl w:ilvl="0" w:tplc="98CA07DE">
      <w:start w:val="1"/>
      <w:numFmt w:val="lowerRoman"/>
      <w:lvlText w:val="%1."/>
      <w:lvlJc w:val="righ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12479F4"/>
    <w:multiLevelType w:val="hybridMultilevel"/>
    <w:tmpl w:val="4BD6ACFA"/>
    <w:lvl w:ilvl="0" w:tplc="596C008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AB417D9"/>
    <w:multiLevelType w:val="multilevel"/>
    <w:tmpl w:val="100CF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F9B3BCA"/>
    <w:multiLevelType w:val="multilevel"/>
    <w:tmpl w:val="EF7C2BA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Arial" w:hAnsi="Arial"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F4A53E6"/>
    <w:multiLevelType w:val="multilevel"/>
    <w:tmpl w:val="CC300B6E"/>
    <w:lvl w:ilvl="0">
      <w:start w:val="1"/>
      <w:numFmt w:val="low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1C0"/>
    <w:rsid w:val="000923C1"/>
    <w:rsid w:val="0014015E"/>
    <w:rsid w:val="001679C6"/>
    <w:rsid w:val="00241C1D"/>
    <w:rsid w:val="002D0503"/>
    <w:rsid w:val="002F17B3"/>
    <w:rsid w:val="005D5BDE"/>
    <w:rsid w:val="006A1DF8"/>
    <w:rsid w:val="006C33CE"/>
    <w:rsid w:val="006F4987"/>
    <w:rsid w:val="00754B46"/>
    <w:rsid w:val="007821E5"/>
    <w:rsid w:val="007C776A"/>
    <w:rsid w:val="007F5581"/>
    <w:rsid w:val="00925E98"/>
    <w:rsid w:val="009C023F"/>
    <w:rsid w:val="009F4239"/>
    <w:rsid w:val="00A9776E"/>
    <w:rsid w:val="00AA1D4E"/>
    <w:rsid w:val="00BB15DC"/>
    <w:rsid w:val="00BB5AC8"/>
    <w:rsid w:val="00BD0CD5"/>
    <w:rsid w:val="00C42249"/>
    <w:rsid w:val="00DE0EC0"/>
    <w:rsid w:val="00E341C0"/>
    <w:rsid w:val="00F83F93"/>
    <w:rsid w:val="00F8558D"/>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DE0A1"/>
  <w15:docId w15:val="{0036258B-7F86-B24E-B2EA-B573A6DEC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s"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semiHidden/>
    <w:unhideWhenUsed/>
    <w:qFormat/>
    <w:pPr>
      <w:keepNext/>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character" w:customStyle="1" w:styleId="Ttulo1Car">
    <w:name w:val="Título 1 Car"/>
    <w:basedOn w:val="Fuentedeprrafopredeter"/>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uiPriority w:val="99"/>
    <w:locked/>
    <w:rsid w:val="00BD4F10"/>
    <w:rPr>
      <w:rFonts w:cs="Times New Roman"/>
      <w:b/>
      <w:sz w:val="28"/>
      <w:lang w:val="es-ES" w:eastAsia="es-ES"/>
    </w:rPr>
  </w:style>
  <w:style w:type="character" w:customStyle="1" w:styleId="Ttulo5Car">
    <w:name w:val="Título 5 Car"/>
    <w:basedOn w:val="Fuentedeprrafopredeter"/>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1"/>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table" w:customStyle="1" w:styleId="a">
    <w:basedOn w:val="TableNormal0"/>
    <w:tblPr>
      <w:tblStyleRowBandSize w:val="1"/>
      <w:tblStyleColBandSize w:val="1"/>
      <w:tblCellMar>
        <w:left w:w="70" w:type="dxa"/>
        <w:right w:w="70" w:type="dxa"/>
      </w:tblCellMar>
    </w:tblPr>
  </w:style>
  <w:style w:type="paragraph" w:styleId="NormalWeb">
    <w:name w:val="Normal (Web)"/>
    <w:basedOn w:val="Normal"/>
    <w:uiPriority w:val="99"/>
    <w:unhideWhenUsed/>
    <w:rsid w:val="008723D2"/>
    <w:pPr>
      <w:spacing w:before="100" w:beforeAutospacing="1" w:after="100" w:afterAutospacing="1"/>
    </w:pPr>
    <w:rPr>
      <w:rFonts w:ascii="Times New Roman" w:eastAsia="Times New Roman" w:hAnsi="Times New Roman" w:cs="Times New Roman"/>
      <w:lang w:val="es-CO"/>
    </w:rPr>
  </w:style>
  <w:style w:type="paragraph" w:customStyle="1" w:styleId="p1">
    <w:name w:val="p1"/>
    <w:basedOn w:val="Normal"/>
    <w:rsid w:val="00F01D2F"/>
    <w:rPr>
      <w:rFonts w:eastAsia="Times New Roman"/>
      <w:sz w:val="19"/>
      <w:szCs w:val="19"/>
      <w:lang w:val="es-CO"/>
    </w:rPr>
  </w:style>
  <w:style w:type="paragraph" w:customStyle="1" w:styleId="p2">
    <w:name w:val="p2"/>
    <w:basedOn w:val="Normal"/>
    <w:rsid w:val="00F01D2F"/>
    <w:rPr>
      <w:rFonts w:eastAsia="Times New Roman"/>
      <w:sz w:val="12"/>
      <w:szCs w:val="12"/>
      <w:lang w:val="es-CO"/>
    </w:rPr>
  </w:style>
  <w:style w:type="character" w:customStyle="1" w:styleId="s1">
    <w:name w:val="s1"/>
    <w:basedOn w:val="Fuentedeprrafopredeter"/>
    <w:rsid w:val="00F01D2F"/>
    <w:rPr>
      <w:rFonts w:ascii="Arial" w:hAnsi="Arial" w:cs="Arial" w:hint="default"/>
      <w:sz w:val="19"/>
      <w:szCs w:val="19"/>
    </w:rPr>
  </w:style>
  <w:style w:type="paragraph" w:styleId="Asuntodelcomentario">
    <w:name w:val="annotation subject"/>
    <w:basedOn w:val="Textocomentario"/>
    <w:next w:val="Textocomentario"/>
    <w:link w:val="AsuntodelcomentarioCar"/>
    <w:uiPriority w:val="99"/>
    <w:semiHidden/>
    <w:unhideWhenUsed/>
    <w:rsid w:val="00F01D2F"/>
    <w:rPr>
      <w:b/>
      <w:bCs/>
      <w:szCs w:val="20"/>
    </w:rPr>
  </w:style>
  <w:style w:type="character" w:customStyle="1" w:styleId="AsuntodelcomentarioCar">
    <w:name w:val="Asunto del comentario Car"/>
    <w:basedOn w:val="TextocomentarioCar"/>
    <w:link w:val="Asuntodelcomentario"/>
    <w:uiPriority w:val="99"/>
    <w:semiHidden/>
    <w:rsid w:val="00F01D2F"/>
    <w:rPr>
      <w:rFonts w:ascii="Arial" w:hAnsi="Arial" w:cs="Times New Roman"/>
      <w:b/>
      <w:bCs/>
      <w:color w:val="000000"/>
      <w:sz w:val="20"/>
      <w:szCs w:val="20"/>
    </w:rPr>
  </w:style>
  <w:style w:type="character" w:styleId="Textoennegrita">
    <w:name w:val="Strong"/>
    <w:basedOn w:val="Fuentedeprrafopredeter"/>
    <w:uiPriority w:val="22"/>
    <w:qFormat/>
    <w:rsid w:val="003D5FA5"/>
    <w:rPr>
      <w:b/>
      <w:bCs/>
    </w:rPr>
  </w:style>
  <w:style w:type="character" w:customStyle="1" w:styleId="apple-converted-space">
    <w:name w:val="apple-converted-space"/>
    <w:basedOn w:val="Fuentedeprrafopredeter"/>
    <w:rsid w:val="003D5FA5"/>
  </w:style>
  <w:style w:type="character" w:styleId="nfasis">
    <w:name w:val="Emphasis"/>
    <w:basedOn w:val="Fuentedeprrafopredeter"/>
    <w:uiPriority w:val="20"/>
    <w:qFormat/>
    <w:rsid w:val="00133066"/>
    <w:rPr>
      <w:i/>
      <w:iCs/>
    </w:rPr>
  </w:style>
  <w:style w:type="paragraph" w:styleId="Textonotapie">
    <w:name w:val="footnote text"/>
    <w:basedOn w:val="Normal"/>
    <w:link w:val="TextonotapieCar"/>
    <w:uiPriority w:val="99"/>
    <w:semiHidden/>
    <w:unhideWhenUsed/>
    <w:rsid w:val="00E8222F"/>
    <w:rPr>
      <w:sz w:val="20"/>
      <w:szCs w:val="20"/>
    </w:rPr>
  </w:style>
  <w:style w:type="character" w:customStyle="1" w:styleId="TextonotapieCar">
    <w:name w:val="Texto nota pie Car"/>
    <w:basedOn w:val="Fuentedeprrafopredeter"/>
    <w:link w:val="Textonotapie"/>
    <w:uiPriority w:val="99"/>
    <w:semiHidden/>
    <w:rsid w:val="00E8222F"/>
    <w:rPr>
      <w:color w:val="000000"/>
      <w:sz w:val="20"/>
      <w:szCs w:val="20"/>
    </w:rPr>
  </w:style>
  <w:style w:type="character" w:styleId="Refdenotaalpie">
    <w:name w:val="footnote reference"/>
    <w:basedOn w:val="Fuentedeprrafopredeter"/>
    <w:uiPriority w:val="99"/>
    <w:semiHidden/>
    <w:unhideWhenUsed/>
    <w:rsid w:val="00E8222F"/>
    <w:rPr>
      <w:vertAlign w:val="superscript"/>
    </w:rPr>
  </w:style>
  <w:style w:type="character" w:customStyle="1" w:styleId="Mencinsinresolver1">
    <w:name w:val="Mención sin resolver1"/>
    <w:basedOn w:val="Fuentedeprrafopredeter"/>
    <w:uiPriority w:val="99"/>
    <w:semiHidden/>
    <w:unhideWhenUsed/>
    <w:rsid w:val="00A22491"/>
    <w:rPr>
      <w:color w:val="605E5C"/>
      <w:shd w:val="clear" w:color="auto" w:fill="E1DFDD"/>
    </w:rPr>
  </w:style>
  <w:style w:type="paragraph" w:customStyle="1" w:styleId="Memorando">
    <w:name w:val="Memorando"/>
    <w:basedOn w:val="Normal"/>
    <w:qFormat/>
    <w:rsid w:val="00D31FDE"/>
    <w:pPr>
      <w:tabs>
        <w:tab w:val="left" w:pos="1418"/>
      </w:tabs>
      <w:spacing w:line="260" w:lineRule="exact"/>
      <w:jc w:val="both"/>
    </w:pPr>
    <w:rPr>
      <w:rFonts w:eastAsia="Times New Roman"/>
      <w:sz w:val="22"/>
      <w:szCs w:val="22"/>
      <w:lang w:eastAsia="es-ES"/>
    </w:rPr>
  </w:style>
  <w:style w:type="paragraph" w:customStyle="1" w:styleId="Memorandopara">
    <w:name w:val="Memorando para"/>
    <w:basedOn w:val="Memorando"/>
    <w:qFormat/>
    <w:rsid w:val="00D31FDE"/>
    <w:pPr>
      <w:jc w:val="left"/>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sLRhafs3o3TN/L7XfiCFCbSsQ==">CgMxLjAyD2lkLm1rcTBwMGhqazRwcDIPaWQuZmI1cWhpc2UxM3QwOAByITFER3Q4eHMzM3JtN1JJWV9pOFVEZS1mVUdCZGR5R0FiTg==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1203</Words>
  <Characters>6621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DAVID ANTONIO GARZON FANDIÑO</cp:lastModifiedBy>
  <cp:revision>18</cp:revision>
  <dcterms:created xsi:type="dcterms:W3CDTF">2025-07-28T16:42:00Z</dcterms:created>
  <dcterms:modified xsi:type="dcterms:W3CDTF">2025-11-10T17:22:00Z</dcterms:modified>
</cp:coreProperties>
</file>